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D2" w:rsidRDefault="0075355B" w:rsidP="00CE22D2">
      <w:pPr>
        <w:pStyle w:val="NoSpacing"/>
        <w:ind w:left="3600" w:firstLine="720"/>
        <w:jc w:val="both"/>
        <w:rPr>
          <w:noProof/>
          <w:lang w:eastAsia="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97pt;margin-top:0;width:147.5pt;height:101.25pt;z-index:1;visibility:visible">
            <v:imagedata r:id="rId5" o:title="HDA NewLogo"/>
            <w10:wrap type="topAndBottom"/>
          </v:shape>
        </w:pict>
      </w:r>
    </w:p>
    <w:p w:rsidR="00CE22D2" w:rsidRPr="00F8574F" w:rsidRDefault="00CE22D2" w:rsidP="00CE22D2">
      <w:pPr>
        <w:pStyle w:val="NoSpacing"/>
        <w:ind w:left="3600" w:firstLine="720"/>
        <w:jc w:val="both"/>
        <w:rPr>
          <w:rFonts w:cs="Calibri"/>
          <w:sz w:val="20"/>
          <w:szCs w:val="20"/>
          <w:shd w:val="clear" w:color="auto" w:fill="FFFFFF"/>
        </w:rPr>
      </w:pPr>
    </w:p>
    <w:p w:rsidR="00CE22D2" w:rsidRPr="00F8574F" w:rsidRDefault="00CE22D2" w:rsidP="00CE22D2">
      <w:pPr>
        <w:pStyle w:val="NoSpacing"/>
        <w:jc w:val="both"/>
        <w:rPr>
          <w:rFonts w:cs="Calibri"/>
          <w:sz w:val="20"/>
          <w:szCs w:val="20"/>
          <w:shd w:val="clear" w:color="auto" w:fill="FFFFFF"/>
        </w:rPr>
      </w:pPr>
      <w:r w:rsidRPr="00F8574F">
        <w:rPr>
          <w:rFonts w:cs="Calibri"/>
          <w:sz w:val="20"/>
          <w:szCs w:val="20"/>
          <w:shd w:val="clear" w:color="auto" w:fill="FFFFFF"/>
        </w:rPr>
        <w:t>The Housing Development Agency (HDA) is a national public sector development agency that acquires and prepares land as well as develop the land and project manage the development of housing and human settlements. We carry out our activities in partnership with a range of stakeholders including national, provincial and local government and municipalities, as well as with communities, developers, financiers and other affected parties. Es</w:t>
      </w:r>
      <w:r w:rsidR="00C52A75">
        <w:rPr>
          <w:rFonts w:cs="Calibri"/>
          <w:sz w:val="20"/>
          <w:szCs w:val="20"/>
          <w:shd w:val="clear" w:color="auto" w:fill="FFFFFF"/>
        </w:rPr>
        <w:t>tablished in 2009, the Agency was</w:t>
      </w:r>
      <w:r w:rsidRPr="00F8574F">
        <w:rPr>
          <w:rFonts w:cs="Calibri"/>
          <w:sz w:val="20"/>
          <w:szCs w:val="20"/>
          <w:shd w:val="clear" w:color="auto" w:fill="FFFFFF"/>
        </w:rPr>
        <w:t xml:space="preserve"> established by an Act of Parliament in 2008 </w:t>
      </w:r>
      <w:r w:rsidR="00C52A75">
        <w:rPr>
          <w:rFonts w:cs="Calibri"/>
          <w:sz w:val="20"/>
          <w:szCs w:val="20"/>
          <w:shd w:val="clear" w:color="auto" w:fill="FFFFFF"/>
        </w:rPr>
        <w:t>and is accountable through its B</w:t>
      </w:r>
      <w:r w:rsidRPr="00F8574F">
        <w:rPr>
          <w:rFonts w:cs="Calibri"/>
          <w:sz w:val="20"/>
          <w:szCs w:val="20"/>
          <w:shd w:val="clear" w:color="auto" w:fill="FFFFFF"/>
        </w:rPr>
        <w:t xml:space="preserve">oard to the Minister of Human Settlements. For more information about the HDA, please visit our website: </w:t>
      </w:r>
      <w:hyperlink r:id="rId6" w:history="1">
        <w:r w:rsidRPr="00F8574F">
          <w:rPr>
            <w:rStyle w:val="Hyperlink"/>
            <w:rFonts w:cs="Calibri"/>
            <w:sz w:val="20"/>
            <w:szCs w:val="20"/>
            <w:shd w:val="clear" w:color="auto" w:fill="FFFFFF"/>
          </w:rPr>
          <w:t>www.thehda.co.za</w:t>
        </w:r>
      </w:hyperlink>
      <w:r w:rsidRPr="00F8574F">
        <w:rPr>
          <w:rFonts w:cs="Calibri"/>
          <w:sz w:val="20"/>
          <w:szCs w:val="20"/>
          <w:shd w:val="clear" w:color="auto" w:fill="FFFFFF"/>
        </w:rPr>
        <w:t>.</w:t>
      </w:r>
    </w:p>
    <w:p w:rsidR="00CE22D2" w:rsidRPr="00F8574F" w:rsidRDefault="00CE22D2" w:rsidP="00CE22D2">
      <w:pPr>
        <w:pStyle w:val="NoSpacing"/>
        <w:jc w:val="both"/>
        <w:rPr>
          <w:rStyle w:val="Hyperlink"/>
          <w:rFonts w:cs="Calibri"/>
          <w:color w:val="44546A"/>
          <w:sz w:val="20"/>
          <w:szCs w:val="20"/>
          <w:shd w:val="clear" w:color="auto" w:fill="FFFFFF"/>
        </w:rPr>
      </w:pPr>
    </w:p>
    <w:p w:rsidR="00CE22D2" w:rsidRPr="00F8574F" w:rsidRDefault="00CE22D2" w:rsidP="00CE22D2">
      <w:pPr>
        <w:pStyle w:val="NoSpacing"/>
        <w:jc w:val="both"/>
        <w:rPr>
          <w:rFonts w:eastAsia="Cambria" w:cs="Calibri"/>
          <w:sz w:val="20"/>
          <w:szCs w:val="20"/>
          <w:lang w:val="en-US"/>
        </w:rPr>
      </w:pPr>
      <w:r w:rsidRPr="00F8574F">
        <w:rPr>
          <w:rFonts w:eastAsia="Cambria" w:cs="Calibri"/>
          <w:sz w:val="20"/>
          <w:szCs w:val="20"/>
          <w:lang w:val="en-US"/>
        </w:rPr>
        <w:t xml:space="preserve">The HDA has the following </w:t>
      </w:r>
      <w:r w:rsidR="00C52A75">
        <w:rPr>
          <w:rFonts w:eastAsia="Cambria" w:cs="Calibri"/>
          <w:b/>
          <w:sz w:val="20"/>
          <w:szCs w:val="20"/>
          <w:lang w:val="en-US"/>
        </w:rPr>
        <w:t>three</w:t>
      </w:r>
      <w:r w:rsidR="00F557D2" w:rsidRPr="00F8574F">
        <w:rPr>
          <w:rFonts w:eastAsia="Cambria" w:cs="Calibri"/>
          <w:b/>
          <w:sz w:val="20"/>
          <w:szCs w:val="20"/>
          <w:lang w:val="en-US"/>
        </w:rPr>
        <w:t xml:space="preserve"> year fixed term contract </w:t>
      </w:r>
      <w:r w:rsidRPr="00F8574F">
        <w:rPr>
          <w:rFonts w:eastAsia="Cambria" w:cs="Calibri"/>
          <w:sz w:val="20"/>
          <w:szCs w:val="20"/>
          <w:lang w:val="en-US"/>
        </w:rPr>
        <w:t xml:space="preserve">position: </w:t>
      </w:r>
    </w:p>
    <w:p w:rsidR="00CE22D2" w:rsidRPr="00F8574F" w:rsidRDefault="00CE22D2" w:rsidP="00CE22D2">
      <w:pPr>
        <w:pStyle w:val="NoSpacing"/>
        <w:jc w:val="both"/>
        <w:rPr>
          <w:rFonts w:eastAsia="Cambria" w:cs="Calibri"/>
          <w:sz w:val="20"/>
          <w:szCs w:val="20"/>
          <w:lang w:val="en-US"/>
        </w:rPr>
      </w:pPr>
    </w:p>
    <w:p w:rsidR="00CE22D2" w:rsidRPr="00F8574F" w:rsidRDefault="00C52A75" w:rsidP="00CE22D2">
      <w:pPr>
        <w:pStyle w:val="NoSpacing"/>
        <w:jc w:val="both"/>
        <w:rPr>
          <w:rFonts w:eastAsia="Cambria" w:cs="Calibri"/>
          <w:b/>
          <w:sz w:val="20"/>
          <w:szCs w:val="20"/>
          <w:lang w:val="en-US"/>
        </w:rPr>
      </w:pPr>
      <w:r>
        <w:rPr>
          <w:rFonts w:eastAsia="Cambria" w:cs="Calibri"/>
          <w:b/>
          <w:sz w:val="20"/>
          <w:szCs w:val="20"/>
          <w:lang w:val="en-US"/>
        </w:rPr>
        <w:t xml:space="preserve">Project Manager: </w:t>
      </w:r>
      <w:r w:rsidR="00176018">
        <w:rPr>
          <w:rFonts w:eastAsia="Cambria" w:cs="Calibri"/>
          <w:b/>
          <w:sz w:val="20"/>
          <w:szCs w:val="20"/>
          <w:lang w:val="en-US"/>
        </w:rPr>
        <w:t>Gauteng</w:t>
      </w:r>
    </w:p>
    <w:p w:rsidR="00CE22D2" w:rsidRPr="00F8574F" w:rsidRDefault="00CE22D2" w:rsidP="00CE22D2">
      <w:pPr>
        <w:pStyle w:val="NoSpacing"/>
        <w:jc w:val="both"/>
        <w:rPr>
          <w:rFonts w:eastAsia="Cambria" w:cs="Calibri"/>
          <w:b/>
          <w:sz w:val="20"/>
          <w:szCs w:val="20"/>
          <w:lang w:val="en-US"/>
        </w:rPr>
      </w:pPr>
      <w:r w:rsidRPr="00F8574F">
        <w:rPr>
          <w:rFonts w:eastAsia="Cambria" w:cs="Calibri"/>
          <w:b/>
          <w:sz w:val="20"/>
          <w:szCs w:val="20"/>
          <w:lang w:val="en-US"/>
        </w:rPr>
        <w:t xml:space="preserve">Location: </w:t>
      </w:r>
      <w:r w:rsidR="00FD7337" w:rsidRPr="00F8574F">
        <w:rPr>
          <w:rFonts w:cs="Calibri"/>
          <w:b/>
          <w:sz w:val="20"/>
          <w:szCs w:val="20"/>
        </w:rPr>
        <w:t>Johannesburg</w:t>
      </w:r>
    </w:p>
    <w:p w:rsidR="00CE22D2" w:rsidRPr="00F8574F" w:rsidRDefault="00CE22D2" w:rsidP="00CE22D2">
      <w:pPr>
        <w:pStyle w:val="NoSpacing"/>
        <w:jc w:val="both"/>
        <w:rPr>
          <w:rFonts w:cs="Calibri"/>
          <w:b/>
          <w:sz w:val="20"/>
          <w:szCs w:val="20"/>
          <w:shd w:val="clear" w:color="auto" w:fill="FFFFFF"/>
        </w:rPr>
      </w:pPr>
      <w:r w:rsidRPr="00F8574F">
        <w:rPr>
          <w:rFonts w:cs="Calibri"/>
          <w:b/>
          <w:sz w:val="20"/>
          <w:szCs w:val="20"/>
          <w:shd w:val="clear" w:color="auto" w:fill="FFFFFF"/>
        </w:rPr>
        <w:t xml:space="preserve">Reference: </w:t>
      </w:r>
      <w:r w:rsidR="00176018">
        <w:rPr>
          <w:rFonts w:cs="Calibri"/>
          <w:b/>
          <w:sz w:val="20"/>
          <w:szCs w:val="20"/>
          <w:shd w:val="clear" w:color="auto" w:fill="FFFFFF"/>
        </w:rPr>
        <w:t>AP-PMG2018</w:t>
      </w:r>
    </w:p>
    <w:p w:rsidR="00CE22D2" w:rsidRPr="00F8574F" w:rsidRDefault="00CE22D2" w:rsidP="00CE22D2">
      <w:pPr>
        <w:pStyle w:val="NoSpacing"/>
        <w:jc w:val="both"/>
        <w:rPr>
          <w:rFonts w:cs="Calibri"/>
          <w:b/>
          <w:sz w:val="20"/>
          <w:szCs w:val="20"/>
          <w:shd w:val="clear" w:color="auto" w:fill="FFFFFF"/>
        </w:rPr>
      </w:pPr>
    </w:p>
    <w:p w:rsidR="00FD7337" w:rsidRPr="00F8574F" w:rsidRDefault="00CE22D2" w:rsidP="00CE22D2">
      <w:pPr>
        <w:pStyle w:val="NoSpacing"/>
        <w:jc w:val="both"/>
        <w:rPr>
          <w:rFonts w:cs="Calibri"/>
          <w:sz w:val="20"/>
          <w:szCs w:val="20"/>
          <w:lang w:val="en-GB"/>
        </w:rPr>
      </w:pPr>
      <w:r w:rsidRPr="00F8574F">
        <w:rPr>
          <w:rFonts w:cs="Calibri"/>
          <w:b/>
          <w:sz w:val="20"/>
          <w:szCs w:val="20"/>
          <w:shd w:val="clear" w:color="auto" w:fill="FFFFFF"/>
        </w:rPr>
        <w:t xml:space="preserve">Main Purpose: </w:t>
      </w:r>
      <w:r w:rsidR="00F557D2" w:rsidRPr="00F8574F">
        <w:rPr>
          <w:rFonts w:cs="Calibri"/>
          <w:sz w:val="20"/>
          <w:szCs w:val="20"/>
          <w:lang w:val="en-GB"/>
        </w:rPr>
        <w:t xml:space="preserve">To manage all aspects of the Human Settlements Development projects of the HDA from inception up to close-out stage, that has been assigned and to ensure delivery on time, within budget and to required specifications and quality.  </w:t>
      </w:r>
    </w:p>
    <w:p w:rsidR="00B705BE" w:rsidRPr="00F8574F" w:rsidRDefault="00B705BE" w:rsidP="00B705BE">
      <w:pPr>
        <w:pStyle w:val="NoSpacing"/>
        <w:rPr>
          <w:rFonts w:cs="Calibri"/>
          <w:sz w:val="20"/>
          <w:szCs w:val="20"/>
        </w:rPr>
      </w:pPr>
    </w:p>
    <w:p w:rsidR="00B705BE" w:rsidRPr="00F8574F" w:rsidRDefault="00B705BE" w:rsidP="00B705BE">
      <w:pPr>
        <w:pStyle w:val="NoSpacing"/>
        <w:rPr>
          <w:rFonts w:cs="Calibri"/>
          <w:b/>
          <w:sz w:val="20"/>
          <w:szCs w:val="20"/>
        </w:rPr>
      </w:pPr>
      <w:r w:rsidRPr="00F8574F">
        <w:rPr>
          <w:rFonts w:cs="Calibri"/>
          <w:b/>
          <w:sz w:val="20"/>
          <w:szCs w:val="20"/>
        </w:rPr>
        <w:t xml:space="preserve">Key Responsibility Areas: </w:t>
      </w:r>
    </w:p>
    <w:p w:rsidR="00F557D2" w:rsidRPr="00F8574F" w:rsidRDefault="00F557D2" w:rsidP="00B705BE">
      <w:pPr>
        <w:pStyle w:val="NoSpacing"/>
        <w:rPr>
          <w:rFonts w:cs="Calibri"/>
          <w:b/>
          <w:sz w:val="20"/>
          <w:szCs w:val="20"/>
        </w:rPr>
      </w:pPr>
    </w:p>
    <w:p w:rsidR="00B705BE" w:rsidRPr="00F8574F" w:rsidRDefault="00F557D2" w:rsidP="00B705BE">
      <w:pPr>
        <w:pStyle w:val="NoSpacing"/>
        <w:rPr>
          <w:rFonts w:cs="Calibri"/>
          <w:b/>
          <w:sz w:val="20"/>
          <w:szCs w:val="20"/>
        </w:rPr>
      </w:pPr>
      <w:r w:rsidRPr="00F8574F">
        <w:rPr>
          <w:rFonts w:cs="Calibri"/>
          <w:b/>
          <w:sz w:val="20"/>
          <w:szCs w:val="20"/>
        </w:rPr>
        <w:t>Project Planning</w:t>
      </w:r>
      <w:r w:rsidR="00B705BE" w:rsidRPr="00F8574F">
        <w:rPr>
          <w:rFonts w:cs="Calibri"/>
          <w:b/>
          <w:sz w:val="20"/>
          <w:szCs w:val="20"/>
        </w:rPr>
        <w:t>:</w:t>
      </w:r>
    </w:p>
    <w:p w:rsidR="00F557D2" w:rsidRPr="00F8574F" w:rsidRDefault="00F557D2" w:rsidP="00F557D2">
      <w:pPr>
        <w:pStyle w:val="NoSpacing"/>
        <w:numPr>
          <w:ilvl w:val="0"/>
          <w:numId w:val="10"/>
        </w:numPr>
        <w:rPr>
          <w:rFonts w:cs="Calibri"/>
          <w:sz w:val="20"/>
          <w:szCs w:val="20"/>
        </w:rPr>
      </w:pPr>
      <w:r w:rsidRPr="00F8574F">
        <w:rPr>
          <w:rFonts w:cs="Calibri"/>
          <w:sz w:val="20"/>
          <w:szCs w:val="20"/>
        </w:rPr>
        <w:t>Prior to starting a project, conduct a comprehensive project planning process that includes delivery of:</w:t>
      </w:r>
    </w:p>
    <w:p w:rsidR="00F557D2" w:rsidRPr="00F8574F" w:rsidRDefault="00F557D2" w:rsidP="00F557D2">
      <w:pPr>
        <w:pStyle w:val="NoSpacing"/>
        <w:ind w:left="720"/>
        <w:rPr>
          <w:rFonts w:cs="Calibri"/>
          <w:sz w:val="20"/>
          <w:szCs w:val="20"/>
        </w:rPr>
      </w:pPr>
    </w:p>
    <w:p w:rsidR="00F557D2" w:rsidRPr="00F8574F" w:rsidRDefault="00F557D2" w:rsidP="00F557D2">
      <w:pPr>
        <w:pStyle w:val="NoSpacing"/>
        <w:numPr>
          <w:ilvl w:val="0"/>
          <w:numId w:val="11"/>
        </w:numPr>
        <w:rPr>
          <w:rFonts w:cs="Calibri"/>
          <w:sz w:val="20"/>
          <w:szCs w:val="20"/>
        </w:rPr>
      </w:pPr>
      <w:r w:rsidRPr="00F8574F">
        <w:rPr>
          <w:rFonts w:cs="Calibri"/>
          <w:sz w:val="20"/>
          <w:szCs w:val="20"/>
        </w:rPr>
        <w:t>Project feasibility</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Project readiness</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Comprehensive scope</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Resourcing plans</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Budget projection and evaluation</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Project delivery deadlines</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Risk evaluation matrix</w:t>
      </w:r>
    </w:p>
    <w:p w:rsidR="00F557D2" w:rsidRPr="00F8574F" w:rsidRDefault="00F557D2" w:rsidP="00F557D2">
      <w:pPr>
        <w:pStyle w:val="NoSpacing"/>
        <w:numPr>
          <w:ilvl w:val="0"/>
          <w:numId w:val="10"/>
        </w:numPr>
        <w:rPr>
          <w:rFonts w:cs="Calibri"/>
          <w:sz w:val="20"/>
          <w:szCs w:val="20"/>
        </w:rPr>
      </w:pPr>
      <w:r w:rsidRPr="00F8574F">
        <w:rPr>
          <w:rFonts w:cs="Calibri"/>
          <w:sz w:val="20"/>
          <w:szCs w:val="20"/>
        </w:rPr>
        <w:t>Present completed documents that identify and highlight potential:</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Risks</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Opportunities</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Challenges</w:t>
      </w:r>
    </w:p>
    <w:p w:rsidR="00F557D2" w:rsidRPr="00F8574F" w:rsidRDefault="00F557D2" w:rsidP="00F557D2">
      <w:pPr>
        <w:pStyle w:val="NoSpacing"/>
        <w:numPr>
          <w:ilvl w:val="0"/>
          <w:numId w:val="10"/>
        </w:numPr>
        <w:rPr>
          <w:rFonts w:cs="Calibri"/>
          <w:sz w:val="20"/>
          <w:szCs w:val="20"/>
        </w:rPr>
      </w:pPr>
      <w:r w:rsidRPr="00F8574F">
        <w:rPr>
          <w:rFonts w:cs="Calibri"/>
          <w:sz w:val="20"/>
          <w:szCs w:val="20"/>
        </w:rPr>
        <w:t>Define and deliver:</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Project scope</w:t>
      </w:r>
    </w:p>
    <w:p w:rsidR="00F557D2" w:rsidRPr="00F8574F" w:rsidRDefault="00F557D2" w:rsidP="00F557D2">
      <w:pPr>
        <w:pStyle w:val="NoSpacing"/>
        <w:numPr>
          <w:ilvl w:val="0"/>
          <w:numId w:val="11"/>
        </w:numPr>
        <w:rPr>
          <w:rFonts w:cs="Calibri"/>
          <w:sz w:val="20"/>
          <w:szCs w:val="20"/>
        </w:rPr>
      </w:pPr>
      <w:r w:rsidRPr="00F8574F">
        <w:rPr>
          <w:rFonts w:cs="Calibri"/>
          <w:sz w:val="20"/>
          <w:szCs w:val="20"/>
        </w:rPr>
        <w:t>Detailed project plan with project timeframes and deliverables, and associated communication documents</w:t>
      </w:r>
    </w:p>
    <w:p w:rsidR="00B705BE" w:rsidRPr="00F8574F" w:rsidRDefault="00F557D2" w:rsidP="00F557D2">
      <w:pPr>
        <w:pStyle w:val="NoSpacing"/>
        <w:numPr>
          <w:ilvl w:val="0"/>
          <w:numId w:val="11"/>
        </w:numPr>
        <w:rPr>
          <w:rFonts w:cs="Calibri"/>
          <w:sz w:val="20"/>
          <w:szCs w:val="20"/>
        </w:rPr>
      </w:pPr>
      <w:r w:rsidRPr="00F8574F">
        <w:rPr>
          <w:rFonts w:cs="Calibri"/>
          <w:sz w:val="20"/>
          <w:szCs w:val="20"/>
        </w:rPr>
        <w:t>Project budget</w:t>
      </w:r>
    </w:p>
    <w:p w:rsidR="0046049C" w:rsidRPr="00F8574F" w:rsidRDefault="0046049C" w:rsidP="00B705BE">
      <w:pPr>
        <w:pStyle w:val="NoSpacing"/>
        <w:rPr>
          <w:rFonts w:cs="Calibri"/>
          <w:b/>
          <w:sz w:val="20"/>
          <w:szCs w:val="20"/>
        </w:rPr>
      </w:pPr>
    </w:p>
    <w:p w:rsidR="0046049C" w:rsidRPr="00F8574F" w:rsidRDefault="0046049C" w:rsidP="00B705BE">
      <w:pPr>
        <w:pStyle w:val="NoSpacing"/>
        <w:rPr>
          <w:rFonts w:cs="Calibri"/>
          <w:b/>
          <w:sz w:val="20"/>
          <w:szCs w:val="20"/>
        </w:rPr>
      </w:pPr>
    </w:p>
    <w:p w:rsidR="0046049C" w:rsidRPr="00F8574F" w:rsidRDefault="0046049C" w:rsidP="00B705BE">
      <w:pPr>
        <w:pStyle w:val="NoSpacing"/>
        <w:rPr>
          <w:rFonts w:cs="Calibri"/>
          <w:b/>
          <w:sz w:val="20"/>
          <w:szCs w:val="20"/>
        </w:rPr>
      </w:pPr>
    </w:p>
    <w:p w:rsidR="0046049C" w:rsidRPr="00F8574F" w:rsidRDefault="0046049C" w:rsidP="00B705BE">
      <w:pPr>
        <w:pStyle w:val="NoSpacing"/>
        <w:rPr>
          <w:rFonts w:cs="Calibri"/>
          <w:b/>
          <w:sz w:val="20"/>
          <w:szCs w:val="20"/>
        </w:rPr>
      </w:pPr>
    </w:p>
    <w:p w:rsidR="0046049C" w:rsidRPr="00F8574F" w:rsidRDefault="0046049C" w:rsidP="00B705BE">
      <w:pPr>
        <w:pStyle w:val="NoSpacing"/>
        <w:rPr>
          <w:rFonts w:cs="Calibri"/>
          <w:b/>
          <w:sz w:val="20"/>
          <w:szCs w:val="20"/>
        </w:rPr>
      </w:pPr>
    </w:p>
    <w:p w:rsidR="0046049C" w:rsidRPr="00F8574F" w:rsidRDefault="0046049C" w:rsidP="00B705BE">
      <w:pPr>
        <w:pStyle w:val="NoSpacing"/>
        <w:rPr>
          <w:rFonts w:cs="Calibri"/>
          <w:b/>
          <w:sz w:val="20"/>
          <w:szCs w:val="20"/>
        </w:rPr>
      </w:pPr>
    </w:p>
    <w:p w:rsidR="00B705BE" w:rsidRPr="00F8574F" w:rsidRDefault="00F557D2" w:rsidP="00B705BE">
      <w:pPr>
        <w:pStyle w:val="NoSpacing"/>
        <w:rPr>
          <w:rFonts w:cs="Calibri"/>
          <w:b/>
          <w:sz w:val="20"/>
          <w:szCs w:val="20"/>
        </w:rPr>
      </w:pPr>
      <w:r w:rsidRPr="00F8574F">
        <w:rPr>
          <w:rFonts w:cs="Calibri"/>
          <w:b/>
          <w:sz w:val="20"/>
          <w:szCs w:val="20"/>
        </w:rPr>
        <w:lastRenderedPageBreak/>
        <w:t>Project Management</w:t>
      </w:r>
      <w:r w:rsidR="00B705BE" w:rsidRPr="00F8574F">
        <w:rPr>
          <w:rFonts w:cs="Calibri"/>
          <w:b/>
          <w:sz w:val="20"/>
          <w:szCs w:val="20"/>
        </w:rPr>
        <w:t>:</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Secure appropriate resources of housing and related services to achieve project objectives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Manage resources to deliver according to defined outputs and project plan deliverables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Manage all site based meetings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Develop service level agreements and contracts (including standard professional contracts) for resources on the projects, specifically the professional teams and sub-contractors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Monitor and manage the performance of professional teams and sub-contractors to ensure delivery as stated in the project plan.</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Management of housing and related services project budget</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Management of relationships with key stakeholders and community representatives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Controlling and coordinating the projects:</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Scope</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Time</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Quality</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Budget</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Integration</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Human Resource Management</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Communication</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Risk and</w:t>
      </w:r>
    </w:p>
    <w:p w:rsidR="00F557D2" w:rsidRPr="00F8574F" w:rsidRDefault="00F557D2" w:rsidP="00F557D2">
      <w:pPr>
        <w:pStyle w:val="NoSpacing"/>
        <w:numPr>
          <w:ilvl w:val="0"/>
          <w:numId w:val="12"/>
        </w:numPr>
        <w:rPr>
          <w:rFonts w:cs="Calibri"/>
          <w:sz w:val="20"/>
          <w:szCs w:val="20"/>
        </w:rPr>
      </w:pPr>
      <w:r w:rsidRPr="00F8574F">
        <w:rPr>
          <w:rFonts w:cs="Calibri"/>
          <w:sz w:val="20"/>
          <w:szCs w:val="20"/>
        </w:rPr>
        <w:t>Procurement Management</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Proactively manage changes in project scope, identify potential crises and devise contingency plans</w:t>
      </w:r>
      <w:r w:rsidRPr="00F8574F" w:rsidDel="000C1DE2">
        <w:rPr>
          <w:rFonts w:cs="Calibri"/>
          <w:sz w:val="20"/>
          <w:szCs w:val="20"/>
        </w:rPr>
        <w:t xml:space="preserve"> </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Develop and implement risk management plans and strategies for housing and related services projects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Complete and present post implementation review to senior management and project teams to identify successes, challenges and lessons from the project.</w:t>
      </w:r>
    </w:p>
    <w:p w:rsidR="00B705BE" w:rsidRPr="00F8574F" w:rsidRDefault="00F557D2" w:rsidP="00F557D2">
      <w:pPr>
        <w:pStyle w:val="NoSpacing"/>
        <w:numPr>
          <w:ilvl w:val="0"/>
          <w:numId w:val="9"/>
        </w:numPr>
        <w:rPr>
          <w:rFonts w:cs="Calibri"/>
          <w:sz w:val="20"/>
          <w:szCs w:val="20"/>
        </w:rPr>
      </w:pPr>
      <w:r w:rsidRPr="00F8574F">
        <w:rPr>
          <w:rFonts w:cs="Calibri"/>
          <w:sz w:val="20"/>
          <w:szCs w:val="20"/>
        </w:rPr>
        <w:t>Develop best practices and tools for project execution and management</w:t>
      </w:r>
    </w:p>
    <w:p w:rsidR="0046049C" w:rsidRPr="00F8574F" w:rsidRDefault="0046049C" w:rsidP="00B705BE">
      <w:pPr>
        <w:pStyle w:val="NoSpacing"/>
        <w:rPr>
          <w:rFonts w:cs="Calibri"/>
          <w:b/>
          <w:sz w:val="20"/>
          <w:szCs w:val="20"/>
        </w:rPr>
      </w:pPr>
    </w:p>
    <w:p w:rsidR="00B705BE" w:rsidRPr="00F8574F" w:rsidRDefault="00F557D2" w:rsidP="00B705BE">
      <w:pPr>
        <w:pStyle w:val="NoSpacing"/>
        <w:rPr>
          <w:rFonts w:cs="Calibri"/>
          <w:b/>
          <w:sz w:val="20"/>
          <w:szCs w:val="20"/>
        </w:rPr>
      </w:pPr>
      <w:r w:rsidRPr="00F8574F">
        <w:rPr>
          <w:rFonts w:cs="Calibri"/>
          <w:b/>
          <w:sz w:val="20"/>
          <w:szCs w:val="20"/>
        </w:rPr>
        <w:t>Project Administration</w:t>
      </w:r>
      <w:r w:rsidR="00B705BE" w:rsidRPr="00F8574F">
        <w:rPr>
          <w:rFonts w:cs="Calibri"/>
          <w:b/>
          <w:sz w:val="20"/>
          <w:szCs w:val="20"/>
        </w:rPr>
        <w:t>:</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 xml:space="preserve">Contribute to project related procurement including </w:t>
      </w:r>
    </w:p>
    <w:p w:rsidR="00F557D2" w:rsidRPr="00F8574F" w:rsidRDefault="00F557D2" w:rsidP="0046049C">
      <w:pPr>
        <w:pStyle w:val="NoSpacing"/>
        <w:numPr>
          <w:ilvl w:val="0"/>
          <w:numId w:val="14"/>
        </w:numPr>
        <w:rPr>
          <w:rFonts w:cs="Calibri"/>
          <w:sz w:val="20"/>
          <w:szCs w:val="20"/>
        </w:rPr>
      </w:pPr>
      <w:r w:rsidRPr="00F8574F">
        <w:rPr>
          <w:rFonts w:cs="Calibri"/>
          <w:sz w:val="20"/>
          <w:szCs w:val="20"/>
        </w:rPr>
        <w:t>Drafting terms of reference</w:t>
      </w:r>
    </w:p>
    <w:p w:rsidR="00F557D2" w:rsidRPr="00F8574F" w:rsidRDefault="00F557D2" w:rsidP="0046049C">
      <w:pPr>
        <w:pStyle w:val="NoSpacing"/>
        <w:numPr>
          <w:ilvl w:val="0"/>
          <w:numId w:val="14"/>
        </w:numPr>
        <w:rPr>
          <w:rFonts w:cs="Calibri"/>
          <w:sz w:val="20"/>
          <w:szCs w:val="20"/>
        </w:rPr>
      </w:pPr>
      <w:r w:rsidRPr="00F8574F">
        <w:rPr>
          <w:rFonts w:cs="Calibri"/>
          <w:sz w:val="20"/>
          <w:szCs w:val="20"/>
        </w:rPr>
        <w:t>Providing input into procurement proposals</w:t>
      </w:r>
    </w:p>
    <w:p w:rsidR="00F557D2" w:rsidRPr="00F8574F" w:rsidRDefault="00F557D2" w:rsidP="00F557D2">
      <w:pPr>
        <w:pStyle w:val="NoSpacing"/>
        <w:numPr>
          <w:ilvl w:val="0"/>
          <w:numId w:val="9"/>
        </w:numPr>
        <w:rPr>
          <w:rFonts w:cs="Calibri"/>
          <w:sz w:val="20"/>
          <w:szCs w:val="20"/>
        </w:rPr>
      </w:pPr>
      <w:r w:rsidRPr="00F8574F">
        <w:rPr>
          <w:rFonts w:cs="Calibri"/>
          <w:sz w:val="20"/>
          <w:szCs w:val="20"/>
        </w:rPr>
        <w:t>Develop funding proposals</w:t>
      </w:r>
    </w:p>
    <w:p w:rsidR="00B705BE" w:rsidRPr="00F8574F" w:rsidRDefault="00F557D2" w:rsidP="00F557D2">
      <w:pPr>
        <w:pStyle w:val="NoSpacing"/>
        <w:numPr>
          <w:ilvl w:val="0"/>
          <w:numId w:val="9"/>
        </w:numPr>
        <w:rPr>
          <w:rFonts w:cs="Calibri"/>
          <w:sz w:val="20"/>
          <w:szCs w:val="20"/>
        </w:rPr>
      </w:pPr>
      <w:r w:rsidRPr="00F8574F">
        <w:rPr>
          <w:rFonts w:cs="Calibri"/>
          <w:sz w:val="20"/>
          <w:szCs w:val="20"/>
        </w:rPr>
        <w:t>Drafting, submission and presentation of housing and services project related management reports</w:t>
      </w:r>
    </w:p>
    <w:p w:rsidR="0046049C" w:rsidRPr="00F8574F" w:rsidRDefault="0046049C" w:rsidP="00B705BE">
      <w:pPr>
        <w:pStyle w:val="NoSpacing"/>
        <w:rPr>
          <w:rFonts w:cs="Calibri"/>
          <w:b/>
          <w:sz w:val="20"/>
          <w:szCs w:val="20"/>
        </w:rPr>
      </w:pPr>
    </w:p>
    <w:p w:rsidR="00B705BE" w:rsidRPr="00F8574F" w:rsidRDefault="0046049C" w:rsidP="00B705BE">
      <w:pPr>
        <w:pStyle w:val="NoSpacing"/>
        <w:rPr>
          <w:rFonts w:cs="Calibri"/>
          <w:b/>
          <w:sz w:val="20"/>
          <w:szCs w:val="20"/>
        </w:rPr>
      </w:pPr>
      <w:r w:rsidRPr="00F8574F">
        <w:rPr>
          <w:rFonts w:cs="Calibri"/>
          <w:b/>
          <w:sz w:val="20"/>
          <w:szCs w:val="20"/>
        </w:rPr>
        <w:t>Quality</w:t>
      </w:r>
      <w:r w:rsidR="00B705BE" w:rsidRPr="00F8574F">
        <w:rPr>
          <w:rFonts w:cs="Calibri"/>
          <w:b/>
          <w:sz w:val="20"/>
          <w:szCs w:val="20"/>
        </w:rPr>
        <w:t>:</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 xml:space="preserve">Ensure adherence to quality in the delivery of housing infrastructure </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Develop and implement site inspection processes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Ensure compliance with legal, contractual and safety requirements</w:t>
      </w:r>
    </w:p>
    <w:p w:rsidR="00B705BE" w:rsidRPr="00F8574F" w:rsidRDefault="0046049C" w:rsidP="0046049C">
      <w:pPr>
        <w:pStyle w:val="NoSpacing"/>
        <w:numPr>
          <w:ilvl w:val="0"/>
          <w:numId w:val="9"/>
        </w:numPr>
        <w:rPr>
          <w:rFonts w:cs="Calibri"/>
          <w:sz w:val="20"/>
          <w:szCs w:val="20"/>
        </w:rPr>
      </w:pPr>
      <w:r w:rsidRPr="00F8574F">
        <w:rPr>
          <w:rFonts w:cs="Calibri"/>
          <w:sz w:val="20"/>
          <w:szCs w:val="20"/>
        </w:rPr>
        <w:t>Ensure that onsite occupational Health and Safety requirements are met and complied with</w:t>
      </w:r>
    </w:p>
    <w:p w:rsidR="0046049C" w:rsidRPr="00F8574F" w:rsidRDefault="0046049C" w:rsidP="0046049C">
      <w:pPr>
        <w:pStyle w:val="NoSpacing"/>
        <w:rPr>
          <w:rFonts w:cs="Calibri"/>
          <w:sz w:val="20"/>
          <w:szCs w:val="20"/>
        </w:rPr>
      </w:pPr>
    </w:p>
    <w:p w:rsidR="0046049C" w:rsidRPr="00F8574F" w:rsidRDefault="0046049C" w:rsidP="0046049C">
      <w:pPr>
        <w:pStyle w:val="NoSpacing"/>
        <w:rPr>
          <w:rFonts w:cs="Calibri"/>
          <w:b/>
          <w:sz w:val="20"/>
          <w:szCs w:val="20"/>
          <w:lang w:val="en-GB"/>
        </w:rPr>
      </w:pPr>
      <w:r w:rsidRPr="00F8574F">
        <w:rPr>
          <w:rFonts w:cs="Calibri"/>
          <w:b/>
          <w:sz w:val="20"/>
          <w:szCs w:val="20"/>
          <w:lang w:val="en-GB"/>
        </w:rPr>
        <w:t>People Management:</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Select, assign, lead and manage people</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Set clear objectives for self and others and measure achievements against these objectives through implementation of the performance management system</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Build and manage relationships with staff members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Manage and support staff development</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Develop and manage the implementation of succession plans for key individuals and critical positions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Implement the HDA HR policies and procedures as required</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Manage risks and address issues as they arise</w:t>
      </w: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p>
    <w:p w:rsidR="0046049C" w:rsidRPr="00F8574F" w:rsidRDefault="0046049C" w:rsidP="0046049C">
      <w:pPr>
        <w:pStyle w:val="NoSpacing"/>
        <w:rPr>
          <w:rFonts w:cs="Calibri"/>
          <w:b/>
          <w:sz w:val="20"/>
          <w:szCs w:val="20"/>
        </w:rPr>
      </w:pPr>
      <w:r w:rsidRPr="00F8574F">
        <w:rPr>
          <w:rFonts w:cs="Calibri"/>
          <w:b/>
          <w:sz w:val="20"/>
          <w:szCs w:val="20"/>
        </w:rPr>
        <w:lastRenderedPageBreak/>
        <w:t>Compliance Management:</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Manage implementation of work within established policies, systems, procedures, processes and  practices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Provide advice and assistance to others in order to ensure their compliance with policy and governance procedures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Identify areas of non-compliance and implement corrective action</w:t>
      </w:r>
    </w:p>
    <w:p w:rsidR="00B705BE" w:rsidRPr="00F8574F" w:rsidRDefault="00B705BE" w:rsidP="00B705BE">
      <w:pPr>
        <w:pStyle w:val="NoSpacing"/>
        <w:rPr>
          <w:rFonts w:cs="Calibri"/>
          <w:sz w:val="20"/>
          <w:szCs w:val="20"/>
        </w:rPr>
      </w:pPr>
    </w:p>
    <w:p w:rsidR="00B705BE" w:rsidRPr="00F8574F" w:rsidRDefault="00C52A75" w:rsidP="00B705BE">
      <w:pPr>
        <w:pStyle w:val="NoSpacing"/>
        <w:rPr>
          <w:rFonts w:cs="Calibri"/>
          <w:b/>
          <w:sz w:val="20"/>
          <w:szCs w:val="20"/>
        </w:rPr>
      </w:pPr>
      <w:r>
        <w:rPr>
          <w:rFonts w:cs="Calibri"/>
          <w:b/>
          <w:sz w:val="20"/>
          <w:szCs w:val="20"/>
        </w:rPr>
        <w:t>Requirements</w:t>
      </w:r>
      <w:r w:rsidR="00B705BE" w:rsidRPr="00F8574F">
        <w:rPr>
          <w:rFonts w:cs="Calibri"/>
          <w:b/>
          <w:sz w:val="20"/>
          <w:szCs w:val="20"/>
        </w:rPr>
        <w:t>:</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 xml:space="preserve">A relevant degree or equivalent qualification in the built environment (Civil Engineering, Construction Management, Quantity Surveying, etc.) is required </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Relevant project management qualification (NQF 5 or 6)</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Registration as a Construction Project Manager or other recognized equivalent professional accreditation will be a recommendation.</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Computer literacy including Microsoft Projects packages</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 xml:space="preserve">5 years’ experience as a construction project manager </w:t>
      </w:r>
    </w:p>
    <w:p w:rsidR="0046049C" w:rsidRPr="00F8574F" w:rsidRDefault="0046049C" w:rsidP="0046049C">
      <w:pPr>
        <w:pStyle w:val="NoSpacing"/>
        <w:numPr>
          <w:ilvl w:val="0"/>
          <w:numId w:val="9"/>
        </w:numPr>
        <w:rPr>
          <w:rFonts w:cs="Calibri"/>
          <w:sz w:val="20"/>
          <w:szCs w:val="20"/>
        </w:rPr>
      </w:pPr>
      <w:r w:rsidRPr="00F8574F">
        <w:rPr>
          <w:rFonts w:cs="Calibri"/>
          <w:sz w:val="20"/>
          <w:szCs w:val="20"/>
        </w:rPr>
        <w:t>Experience in housing construction and/or infrastructure based project management is required</w:t>
      </w:r>
    </w:p>
    <w:p w:rsidR="00B705BE" w:rsidRDefault="0046049C" w:rsidP="0046049C">
      <w:pPr>
        <w:pStyle w:val="NoSpacing"/>
        <w:numPr>
          <w:ilvl w:val="0"/>
          <w:numId w:val="9"/>
        </w:numPr>
        <w:rPr>
          <w:rFonts w:cs="Calibri"/>
          <w:sz w:val="20"/>
          <w:szCs w:val="20"/>
        </w:rPr>
      </w:pPr>
      <w:r w:rsidRPr="00F8574F">
        <w:rPr>
          <w:rFonts w:cs="Calibri"/>
          <w:sz w:val="20"/>
          <w:szCs w:val="20"/>
        </w:rPr>
        <w:t>Experience in the delivery and project management of affordable housing projects &amp; infrastructure is preferable</w:t>
      </w:r>
    </w:p>
    <w:p w:rsidR="00176018" w:rsidRPr="00F8574F" w:rsidRDefault="00176018" w:rsidP="0046049C">
      <w:pPr>
        <w:pStyle w:val="NoSpacing"/>
        <w:numPr>
          <w:ilvl w:val="0"/>
          <w:numId w:val="9"/>
        </w:numPr>
        <w:rPr>
          <w:rFonts w:cs="Calibri"/>
          <w:sz w:val="20"/>
          <w:szCs w:val="20"/>
        </w:rPr>
      </w:pPr>
      <w:r>
        <w:rPr>
          <w:rFonts w:cs="Calibri"/>
          <w:sz w:val="20"/>
          <w:szCs w:val="20"/>
        </w:rPr>
        <w:t>Drivers License and own car</w:t>
      </w:r>
    </w:p>
    <w:p w:rsidR="0046049C" w:rsidRPr="00F8574F" w:rsidRDefault="0046049C" w:rsidP="0046049C">
      <w:pPr>
        <w:pStyle w:val="NoSpacing"/>
        <w:ind w:left="720"/>
        <w:rPr>
          <w:rFonts w:cs="Calibri"/>
          <w:sz w:val="20"/>
          <w:szCs w:val="20"/>
        </w:rPr>
      </w:pPr>
    </w:p>
    <w:p w:rsidR="00B705BE" w:rsidRPr="00F8574F" w:rsidRDefault="00B705BE" w:rsidP="00B705BE">
      <w:pPr>
        <w:pStyle w:val="NoSpacing"/>
        <w:rPr>
          <w:rFonts w:cs="Calibri"/>
          <w:bCs/>
          <w:sz w:val="20"/>
          <w:szCs w:val="20"/>
        </w:rPr>
      </w:pPr>
      <w:r w:rsidRPr="00F8574F">
        <w:rPr>
          <w:rFonts w:cs="Calibri"/>
          <w:sz w:val="20"/>
          <w:szCs w:val="20"/>
        </w:rPr>
        <w:t xml:space="preserve">Please forward relevant </w:t>
      </w:r>
      <w:r w:rsidR="00C52A75" w:rsidRPr="00F8574F">
        <w:rPr>
          <w:rFonts w:cs="Calibri"/>
          <w:sz w:val="20"/>
          <w:szCs w:val="20"/>
        </w:rPr>
        <w:t>CV</w:t>
      </w:r>
      <w:r w:rsidR="00C52A75">
        <w:rPr>
          <w:rFonts w:cs="Calibri"/>
          <w:sz w:val="20"/>
          <w:szCs w:val="20"/>
        </w:rPr>
        <w:t xml:space="preserve"> (</w:t>
      </w:r>
      <w:r w:rsidR="00C52A75" w:rsidRPr="00F8574F">
        <w:rPr>
          <w:rFonts w:cs="Calibri"/>
          <w:sz w:val="20"/>
          <w:szCs w:val="20"/>
        </w:rPr>
        <w:t>Clearly marked with the reference number of the position).</w:t>
      </w:r>
      <w:r w:rsidRPr="00F8574F">
        <w:rPr>
          <w:rFonts w:cs="Calibri"/>
          <w:sz w:val="20"/>
          <w:szCs w:val="20"/>
        </w:rPr>
        <w:t xml:space="preserve">in a Microsoft Word format </w:t>
      </w:r>
      <w:bookmarkStart w:id="0" w:name="_GoBack"/>
      <w:bookmarkEnd w:id="0"/>
      <w:r w:rsidR="0075355B" w:rsidRPr="00F8574F">
        <w:rPr>
          <w:rFonts w:cs="Calibri"/>
          <w:sz w:val="20"/>
          <w:szCs w:val="20"/>
        </w:rPr>
        <w:t>to</w:t>
      </w:r>
      <w:r w:rsidR="0075355B" w:rsidRPr="00F8574F">
        <w:rPr>
          <w:rFonts w:cs="Calibri"/>
          <w:bCs/>
          <w:sz w:val="20"/>
          <w:szCs w:val="20"/>
        </w:rPr>
        <w:t xml:space="preserve"> applicationsjhb@affirm.co.za</w:t>
      </w:r>
    </w:p>
    <w:p w:rsidR="00B705BE" w:rsidRPr="00F8574F" w:rsidRDefault="00B705BE" w:rsidP="00B705BE">
      <w:pPr>
        <w:pStyle w:val="NoSpacing"/>
        <w:rPr>
          <w:rFonts w:cs="Calibri"/>
          <w:sz w:val="20"/>
          <w:szCs w:val="20"/>
        </w:rPr>
      </w:pPr>
    </w:p>
    <w:p w:rsidR="00B705BE" w:rsidRPr="00F8574F" w:rsidRDefault="00B705BE" w:rsidP="00B705BE">
      <w:pPr>
        <w:ind w:left="0" w:firstLine="0"/>
        <w:contextualSpacing/>
        <w:jc w:val="both"/>
        <w:rPr>
          <w:rFonts w:cs="Calibri"/>
          <w:sz w:val="20"/>
          <w:szCs w:val="20"/>
        </w:rPr>
      </w:pPr>
      <w:r w:rsidRPr="00F8574F">
        <w:rPr>
          <w:rFonts w:cs="Calibri"/>
          <w:sz w:val="20"/>
          <w:szCs w:val="20"/>
        </w:rPr>
        <w:t>Should you not comply with the above requirements your application will NOT be considered.</w:t>
      </w:r>
    </w:p>
    <w:p w:rsidR="00B705BE" w:rsidRPr="00F8574F" w:rsidRDefault="00B705BE" w:rsidP="00B705BE">
      <w:pPr>
        <w:ind w:left="0" w:firstLine="0"/>
        <w:contextualSpacing/>
        <w:jc w:val="both"/>
        <w:rPr>
          <w:rFonts w:cs="Calibri"/>
          <w:sz w:val="20"/>
          <w:szCs w:val="20"/>
        </w:rPr>
      </w:pPr>
    </w:p>
    <w:p w:rsidR="00B705BE" w:rsidRPr="00F8574F" w:rsidRDefault="00B705BE" w:rsidP="00B705BE">
      <w:pPr>
        <w:ind w:left="0" w:firstLine="0"/>
        <w:contextualSpacing/>
        <w:jc w:val="both"/>
        <w:rPr>
          <w:rFonts w:cs="Calibri"/>
          <w:sz w:val="20"/>
          <w:szCs w:val="20"/>
        </w:rPr>
      </w:pPr>
      <w:r w:rsidRPr="00F8574F">
        <w:rPr>
          <w:rFonts w:cs="Calibri"/>
          <w:b/>
          <w:sz w:val="20"/>
          <w:szCs w:val="20"/>
        </w:rPr>
        <w:t>Closing date for applications:</w:t>
      </w:r>
      <w:r w:rsidR="0046049C" w:rsidRPr="00F8574F">
        <w:rPr>
          <w:rFonts w:cs="Calibri"/>
          <w:sz w:val="20"/>
          <w:szCs w:val="20"/>
        </w:rPr>
        <w:t xml:space="preserve"> </w:t>
      </w:r>
      <w:r w:rsidR="006F1868">
        <w:rPr>
          <w:rFonts w:cs="Calibri"/>
          <w:sz w:val="20"/>
          <w:szCs w:val="20"/>
        </w:rPr>
        <w:t>2 June 2018</w:t>
      </w:r>
    </w:p>
    <w:p w:rsidR="00B705BE" w:rsidRPr="00F8574F" w:rsidRDefault="00B705BE" w:rsidP="00B705BE">
      <w:pPr>
        <w:ind w:left="0" w:firstLine="0"/>
        <w:contextualSpacing/>
        <w:jc w:val="both"/>
        <w:rPr>
          <w:rFonts w:cs="Calibri"/>
          <w:sz w:val="20"/>
          <w:szCs w:val="20"/>
        </w:rPr>
      </w:pPr>
    </w:p>
    <w:p w:rsidR="00B705BE" w:rsidRPr="00F8574F" w:rsidRDefault="00B705BE" w:rsidP="00B705BE">
      <w:pPr>
        <w:ind w:left="0" w:firstLine="0"/>
        <w:contextualSpacing/>
        <w:jc w:val="both"/>
        <w:rPr>
          <w:rFonts w:cs="Calibri"/>
          <w:sz w:val="20"/>
          <w:szCs w:val="20"/>
          <w:lang w:val="en-GB"/>
        </w:rPr>
      </w:pPr>
      <w:r w:rsidRPr="00F8574F">
        <w:rPr>
          <w:rFonts w:cs="Calibri"/>
          <w:sz w:val="20"/>
          <w:szCs w:val="20"/>
        </w:rPr>
        <w:t xml:space="preserve">CVs received after the closing date will NOT be considered. Kindly take note if you have not been contacted </w:t>
      </w:r>
      <w:r w:rsidRPr="00F8574F">
        <w:rPr>
          <w:rFonts w:cs="Calibri"/>
          <w:sz w:val="20"/>
          <w:szCs w:val="20"/>
          <w:lang w:val="en-GB"/>
        </w:rPr>
        <w:t>within fourteen (14) days of the closing date; please consider your application unsuccessful.</w:t>
      </w:r>
    </w:p>
    <w:p w:rsidR="00B705BE" w:rsidRPr="00F8574F" w:rsidRDefault="00B705BE" w:rsidP="00B705BE">
      <w:pPr>
        <w:ind w:left="0" w:firstLine="0"/>
        <w:contextualSpacing/>
        <w:jc w:val="both"/>
        <w:rPr>
          <w:rFonts w:cs="Calibri"/>
          <w:sz w:val="20"/>
          <w:szCs w:val="20"/>
          <w:lang w:val="en-GB"/>
        </w:rPr>
      </w:pPr>
    </w:p>
    <w:p w:rsidR="00B705BE" w:rsidRPr="00F8574F" w:rsidRDefault="00B705BE" w:rsidP="00B705BE">
      <w:pPr>
        <w:ind w:left="0" w:firstLine="0"/>
        <w:contextualSpacing/>
        <w:jc w:val="both"/>
        <w:rPr>
          <w:rFonts w:cs="Calibri"/>
          <w:sz w:val="20"/>
          <w:szCs w:val="20"/>
        </w:rPr>
      </w:pPr>
      <w:r w:rsidRPr="00F8574F">
        <w:rPr>
          <w:rFonts w:cs="Calibri"/>
          <w:b/>
          <w:sz w:val="20"/>
          <w:szCs w:val="20"/>
        </w:rPr>
        <w:t>Enquiries:</w:t>
      </w:r>
      <w:r w:rsidRPr="00F8574F">
        <w:rPr>
          <w:rFonts w:cs="Calibri"/>
          <w:sz w:val="20"/>
          <w:szCs w:val="20"/>
        </w:rPr>
        <w:t xml:space="preserve"> </w:t>
      </w:r>
      <w:r w:rsidR="00176018">
        <w:rPr>
          <w:rFonts w:cs="Calibri"/>
          <w:b/>
          <w:sz w:val="20"/>
          <w:szCs w:val="20"/>
        </w:rPr>
        <w:t>Sacha Meyerson (011) 883-5035</w:t>
      </w:r>
    </w:p>
    <w:p w:rsidR="00B705BE" w:rsidRPr="00F8574F" w:rsidRDefault="00B705BE" w:rsidP="00B705BE">
      <w:pPr>
        <w:ind w:left="0" w:firstLine="0"/>
        <w:contextualSpacing/>
        <w:jc w:val="both"/>
        <w:rPr>
          <w:rFonts w:cs="Calibri"/>
          <w:sz w:val="20"/>
          <w:szCs w:val="20"/>
        </w:rPr>
      </w:pPr>
    </w:p>
    <w:p w:rsidR="00B705BE" w:rsidRPr="00F8574F" w:rsidRDefault="00B705BE" w:rsidP="00B705BE">
      <w:pPr>
        <w:ind w:left="0" w:firstLine="0"/>
        <w:contextualSpacing/>
        <w:jc w:val="both"/>
        <w:rPr>
          <w:rFonts w:cs="Calibri"/>
          <w:sz w:val="20"/>
          <w:szCs w:val="20"/>
        </w:rPr>
      </w:pPr>
      <w:r w:rsidRPr="00F8574F">
        <w:rPr>
          <w:rFonts w:cs="Calibri"/>
          <w:sz w:val="20"/>
          <w:szCs w:val="20"/>
        </w:rPr>
        <w:t>--------------------------------------------------------------------------------------------------------------------------------------</w:t>
      </w:r>
    </w:p>
    <w:p w:rsidR="00B705BE" w:rsidRPr="00F8574F" w:rsidRDefault="00B705BE" w:rsidP="00B705BE">
      <w:pPr>
        <w:pStyle w:val="NoSpacing"/>
        <w:jc w:val="both"/>
        <w:rPr>
          <w:rFonts w:cs="Calibri"/>
          <w:sz w:val="20"/>
          <w:szCs w:val="20"/>
        </w:rPr>
      </w:pPr>
      <w:r w:rsidRPr="00F8574F">
        <w:rPr>
          <w:rFonts w:cs="Calibri"/>
          <w:b/>
          <w:sz w:val="20"/>
          <w:szCs w:val="20"/>
        </w:rPr>
        <w:t xml:space="preserve">Conditions of service: </w:t>
      </w:r>
      <w:r w:rsidRPr="00F8574F">
        <w:rPr>
          <w:rFonts w:cs="Calibri"/>
          <w:sz w:val="20"/>
          <w:szCs w:val="20"/>
        </w:rPr>
        <w:t xml:space="preserve">The HDA is an equal opportunity employer ● Appointments will be made in accordance with the HDA </w:t>
      </w:r>
      <w:r w:rsidR="00C52A75" w:rsidRPr="00F8574F">
        <w:rPr>
          <w:rFonts w:cs="Calibri"/>
          <w:sz w:val="20"/>
          <w:szCs w:val="20"/>
        </w:rPr>
        <w:t>E</w:t>
      </w:r>
      <w:r w:rsidR="00C52A75">
        <w:rPr>
          <w:rFonts w:cs="Calibri"/>
          <w:sz w:val="20"/>
          <w:szCs w:val="20"/>
        </w:rPr>
        <w:t xml:space="preserve">mployment </w:t>
      </w:r>
      <w:r w:rsidRPr="00F8574F">
        <w:rPr>
          <w:rFonts w:cs="Calibri"/>
          <w:sz w:val="20"/>
          <w:szCs w:val="20"/>
        </w:rPr>
        <w:t>E</w:t>
      </w:r>
      <w:r w:rsidR="00C52A75">
        <w:rPr>
          <w:rFonts w:cs="Calibri"/>
          <w:sz w:val="20"/>
          <w:szCs w:val="20"/>
        </w:rPr>
        <w:t>quity</w:t>
      </w:r>
      <w:r w:rsidRPr="00F8574F">
        <w:rPr>
          <w:rFonts w:cs="Calibri"/>
          <w:sz w:val="20"/>
          <w:szCs w:val="20"/>
        </w:rPr>
        <w:t xml:space="preserve"> policy ● The HDA reserves the right not to make an appointment.</w:t>
      </w:r>
    </w:p>
    <w:p w:rsidR="00B705BE" w:rsidRPr="00F8574F" w:rsidRDefault="00B705BE" w:rsidP="00CE22D2">
      <w:pPr>
        <w:pStyle w:val="NoSpacing"/>
        <w:jc w:val="both"/>
        <w:rPr>
          <w:rFonts w:cs="Calibri"/>
          <w:sz w:val="20"/>
          <w:szCs w:val="20"/>
        </w:rPr>
      </w:pPr>
    </w:p>
    <w:p w:rsidR="00CE22D2" w:rsidRPr="00F8574F" w:rsidRDefault="00CE22D2" w:rsidP="00CE22D2">
      <w:pPr>
        <w:pStyle w:val="NoSpacing"/>
        <w:jc w:val="both"/>
        <w:rPr>
          <w:rFonts w:cs="Calibri"/>
          <w:sz w:val="20"/>
          <w:szCs w:val="20"/>
        </w:rPr>
      </w:pPr>
      <w:r w:rsidRPr="00F8574F">
        <w:rPr>
          <w:rFonts w:cs="Calibri"/>
          <w:sz w:val="20"/>
          <w:szCs w:val="20"/>
        </w:rPr>
        <w:t>Please do not send certificates, diplomas or testimonials. We thank all applicants for their interest. Communication will be conducted with short-listed applicants only.</w:t>
      </w:r>
    </w:p>
    <w:p w:rsidR="00F8574F" w:rsidRPr="00F8574F" w:rsidRDefault="00F8574F">
      <w:pPr>
        <w:rPr>
          <w:rFonts w:cs="Calibri"/>
          <w:sz w:val="20"/>
          <w:szCs w:val="20"/>
        </w:rPr>
      </w:pPr>
    </w:p>
    <w:sectPr w:rsidR="00F8574F" w:rsidRPr="00F85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656"/>
    <w:multiLevelType w:val="hybridMultilevel"/>
    <w:tmpl w:val="31EECF0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D5BBC"/>
    <w:multiLevelType w:val="hybridMultilevel"/>
    <w:tmpl w:val="2688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F6740"/>
    <w:multiLevelType w:val="hybridMultilevel"/>
    <w:tmpl w:val="AD5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C3F"/>
    <w:multiLevelType w:val="hybridMultilevel"/>
    <w:tmpl w:val="105A8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615A7"/>
    <w:multiLevelType w:val="hybridMultilevel"/>
    <w:tmpl w:val="21285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806949"/>
    <w:multiLevelType w:val="hybridMultilevel"/>
    <w:tmpl w:val="D514F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43A7C"/>
    <w:multiLevelType w:val="hybridMultilevel"/>
    <w:tmpl w:val="C8645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2C2957"/>
    <w:multiLevelType w:val="hybridMultilevel"/>
    <w:tmpl w:val="80B8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40603"/>
    <w:multiLevelType w:val="hybridMultilevel"/>
    <w:tmpl w:val="84DA3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252060"/>
    <w:multiLevelType w:val="hybridMultilevel"/>
    <w:tmpl w:val="96862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8A291E"/>
    <w:multiLevelType w:val="hybridMultilevel"/>
    <w:tmpl w:val="2B92C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77974CB"/>
    <w:multiLevelType w:val="hybridMultilevel"/>
    <w:tmpl w:val="B35C5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E62ABA"/>
    <w:multiLevelType w:val="multilevel"/>
    <w:tmpl w:val="2084CE26"/>
    <w:lvl w:ilvl="0">
      <w:start w:val="1"/>
      <w:numFmt w:val="decimal"/>
      <w:lvlText w:val="%1."/>
      <w:lvlJc w:val="left"/>
      <w:pPr>
        <w:tabs>
          <w:tab w:val="num" w:pos="465"/>
        </w:tabs>
        <w:ind w:left="465" w:hanging="465"/>
      </w:pPr>
      <w:rPr>
        <w:rFonts w:hint="default"/>
        <w:b/>
      </w:rPr>
    </w:lvl>
    <w:lvl w:ilvl="1">
      <w:start w:val="1"/>
      <w:numFmt w:val="bullet"/>
      <w:lvlText w:val=""/>
      <w:lvlJc w:val="left"/>
      <w:pPr>
        <w:tabs>
          <w:tab w:val="num" w:pos="720"/>
        </w:tabs>
        <w:ind w:left="720" w:hanging="720"/>
      </w:pPr>
      <w:rPr>
        <w:rFonts w:ascii="Symbol" w:hAnsi="Symbol" w:hint="default"/>
      </w:rPr>
    </w:lvl>
    <w:lvl w:ilvl="2">
      <w:start w:val="1"/>
      <w:numFmt w:val="bullet"/>
      <w:lvlText w:val="o"/>
      <w:lvlJc w:val="left"/>
      <w:pPr>
        <w:tabs>
          <w:tab w:val="num" w:pos="1080"/>
        </w:tabs>
        <w:ind w:left="1080" w:hanging="1080"/>
      </w:pPr>
      <w:rPr>
        <w:rFonts w:ascii="Courier New" w:hAnsi="Courier New" w:cs="Courier New"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69FD622A"/>
    <w:multiLevelType w:val="hybridMultilevel"/>
    <w:tmpl w:val="5C8C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61A58"/>
    <w:multiLevelType w:val="hybridMultilevel"/>
    <w:tmpl w:val="80441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D1209E"/>
    <w:multiLevelType w:val="hybridMultilevel"/>
    <w:tmpl w:val="2010912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3"/>
  </w:num>
  <w:num w:numId="5">
    <w:abstractNumId w:val="10"/>
  </w:num>
  <w:num w:numId="6">
    <w:abstractNumId w:val="6"/>
  </w:num>
  <w:num w:numId="7">
    <w:abstractNumId w:val="9"/>
  </w:num>
  <w:num w:numId="8">
    <w:abstractNumId w:val="11"/>
  </w:num>
  <w:num w:numId="9">
    <w:abstractNumId w:val="4"/>
  </w:num>
  <w:num w:numId="10">
    <w:abstractNumId w:val="2"/>
  </w:num>
  <w:num w:numId="11">
    <w:abstractNumId w:val="1"/>
  </w:num>
  <w:num w:numId="12">
    <w:abstractNumId w:val="13"/>
  </w:num>
  <w:num w:numId="13">
    <w:abstractNumId w:val="15"/>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2D2"/>
    <w:rsid w:val="000425B1"/>
    <w:rsid w:val="00176018"/>
    <w:rsid w:val="001B5E5C"/>
    <w:rsid w:val="00292FBC"/>
    <w:rsid w:val="003A3CF6"/>
    <w:rsid w:val="0046049C"/>
    <w:rsid w:val="00655CAB"/>
    <w:rsid w:val="006F1868"/>
    <w:rsid w:val="0075355B"/>
    <w:rsid w:val="0094071E"/>
    <w:rsid w:val="00B705BE"/>
    <w:rsid w:val="00C52A75"/>
    <w:rsid w:val="00CE22D2"/>
    <w:rsid w:val="00D71350"/>
    <w:rsid w:val="00E62381"/>
    <w:rsid w:val="00F557D2"/>
    <w:rsid w:val="00F8574F"/>
    <w:rsid w:val="00FD73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637B95-0324-4B0F-95E6-752A7BB7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D2"/>
    <w:pPr>
      <w:spacing w:after="20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2D2"/>
    <w:rPr>
      <w:color w:val="0563C1"/>
      <w:u w:val="single"/>
    </w:rPr>
  </w:style>
  <w:style w:type="paragraph" w:styleId="NoSpacing">
    <w:name w:val="No Spacing"/>
    <w:uiPriority w:val="1"/>
    <w:qFormat/>
    <w:rsid w:val="00CE22D2"/>
    <w:rPr>
      <w:sz w:val="22"/>
      <w:szCs w:val="22"/>
      <w:lang w:eastAsia="en-US"/>
    </w:rPr>
  </w:style>
  <w:style w:type="paragraph" w:styleId="ListParagraph">
    <w:name w:val="List Paragraph"/>
    <w:basedOn w:val="Normal"/>
    <w:uiPriority w:val="34"/>
    <w:qFormat/>
    <w:rsid w:val="00CE22D2"/>
    <w:pPr>
      <w:spacing w:after="0"/>
      <w:ind w:left="720" w:firstLine="0"/>
      <w:contextualSpacing/>
    </w:pPr>
    <w:rPr>
      <w:rFonts w:ascii="Arial" w:eastAsia="Times New Roman" w:hAnsi="Arial"/>
      <w:szCs w:val="24"/>
      <w:lang w:val="en-US" w:eastAsia="en-GB"/>
    </w:rPr>
  </w:style>
  <w:style w:type="paragraph" w:styleId="BalloonText">
    <w:name w:val="Balloon Text"/>
    <w:basedOn w:val="Normal"/>
    <w:link w:val="BalloonTextChar"/>
    <w:uiPriority w:val="99"/>
    <w:semiHidden/>
    <w:unhideWhenUsed/>
    <w:rsid w:val="00B705BE"/>
    <w:pPr>
      <w:spacing w:after="0"/>
      <w:ind w:left="0" w:firstLine="0"/>
    </w:pPr>
    <w:rPr>
      <w:rFonts w:ascii="Tahoma" w:hAnsi="Tahoma" w:cs="Tahoma"/>
      <w:sz w:val="16"/>
      <w:szCs w:val="16"/>
    </w:rPr>
  </w:style>
  <w:style w:type="character" w:customStyle="1" w:styleId="BalloonTextChar">
    <w:name w:val="Balloon Text Char"/>
    <w:link w:val="BalloonText"/>
    <w:uiPriority w:val="99"/>
    <w:semiHidden/>
    <w:rsid w:val="00B705BE"/>
    <w:rPr>
      <w:rFonts w:ascii="Tahoma" w:hAnsi="Tahoma" w:cs="Tahoma"/>
      <w:sz w:val="16"/>
      <w:szCs w:val="16"/>
      <w:lang w:val="en-ZA"/>
    </w:rPr>
  </w:style>
  <w:style w:type="paragraph" w:styleId="BodyText">
    <w:name w:val="Body Text"/>
    <w:basedOn w:val="Normal"/>
    <w:link w:val="BodyTextChar"/>
    <w:rsid w:val="0046049C"/>
    <w:pPr>
      <w:spacing w:after="160" w:line="360" w:lineRule="auto"/>
      <w:ind w:left="0" w:firstLine="0"/>
      <w:jc w:val="both"/>
    </w:pPr>
    <w:rPr>
      <w:rFonts w:ascii="Comic Sans MS" w:hAnsi="Comic Sans MS"/>
      <w:sz w:val="20"/>
      <w:szCs w:val="20"/>
      <w:lang w:eastAsia="en-GB"/>
    </w:rPr>
  </w:style>
  <w:style w:type="character" w:customStyle="1" w:styleId="BodyTextChar">
    <w:name w:val="Body Text Char"/>
    <w:link w:val="BodyText"/>
    <w:rsid w:val="0046049C"/>
    <w:rPr>
      <w:rFonts w:ascii="Comic Sans MS" w:eastAsia="Calibri" w:hAnsi="Comic Sans MS" w:cs="Times New Roman"/>
      <w:sz w:val="20"/>
      <w:szCs w:val="20"/>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da.co.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Links>
    <vt:vector size="12" baseType="variant">
      <vt:variant>
        <vt:i4>6422596</vt:i4>
      </vt:variant>
      <vt:variant>
        <vt:i4>3</vt:i4>
      </vt:variant>
      <vt:variant>
        <vt:i4>0</vt:i4>
      </vt:variant>
      <vt:variant>
        <vt:i4>5</vt:i4>
      </vt:variant>
      <vt:variant>
        <vt:lpwstr>mailto:kmoerane@labournet.com</vt:lpwstr>
      </vt:variant>
      <vt:variant>
        <vt:lpwstr/>
      </vt:variant>
      <vt:variant>
        <vt:i4>4849693</vt:i4>
      </vt:variant>
      <vt:variant>
        <vt:i4>0</vt:i4>
      </vt:variant>
      <vt:variant>
        <vt:i4>0</vt:i4>
      </vt:variant>
      <vt:variant>
        <vt:i4>5</vt:i4>
      </vt:variant>
      <vt:variant>
        <vt:lpwstr>http://www.thehda.co.za/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Moerane</dc:creator>
  <cp:keywords/>
  <dc:description/>
  <cp:lastModifiedBy>Kahisano Kharoli</cp:lastModifiedBy>
  <cp:revision>5</cp:revision>
  <dcterms:created xsi:type="dcterms:W3CDTF">2018-05-16T12:23:00Z</dcterms:created>
  <dcterms:modified xsi:type="dcterms:W3CDTF">2018-05-22T06:28:00Z</dcterms:modified>
</cp:coreProperties>
</file>